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DB" w:rsidRPr="00517803" w:rsidRDefault="007146DB" w:rsidP="007146DB">
      <w:pPr>
        <w:pStyle w:val="CABEZA"/>
        <w:rPr>
          <w:rFonts w:cs="Times New Roman"/>
        </w:rPr>
      </w:pPr>
      <w:r w:rsidRPr="00517803">
        <w:rPr>
          <w:rFonts w:cs="Times New Roman"/>
        </w:rPr>
        <w:t>SECRETARIA DE ECONOMIA</w:t>
      </w:r>
    </w:p>
    <w:p w:rsidR="007146DB" w:rsidRDefault="007146DB" w:rsidP="007146DB">
      <w:pPr>
        <w:pStyle w:val="Titulo1"/>
        <w:rPr>
          <w:rFonts w:cs="Times New Roman"/>
          <w:szCs w:val="20"/>
        </w:rPr>
      </w:pPr>
    </w:p>
    <w:p w:rsidR="007146DB" w:rsidRPr="00517803" w:rsidRDefault="007146DB" w:rsidP="007146DB">
      <w:pPr>
        <w:pStyle w:val="Titulo1"/>
        <w:rPr>
          <w:rFonts w:cs="Times New Roman"/>
        </w:rPr>
      </w:pPr>
      <w:bookmarkStart w:id="0" w:name="_GoBack"/>
      <w:r w:rsidRPr="00517803">
        <w:rPr>
          <w:rFonts w:cs="Times New Roman"/>
          <w:szCs w:val="20"/>
        </w:rPr>
        <w:t>DECLARATORIA de vigencia de la Norma Mexicana NMX-C-558-ONNCCE-2019</w:t>
      </w:r>
      <w:r w:rsidRPr="00517803">
        <w:rPr>
          <w:rFonts w:cs="Times New Roman"/>
        </w:rPr>
        <w:t>.</w:t>
      </w:r>
    </w:p>
    <w:bookmarkEnd w:id="0"/>
    <w:p w:rsidR="007146DB" w:rsidRPr="00517803" w:rsidRDefault="007146DB" w:rsidP="007146DB">
      <w:pPr>
        <w:pStyle w:val="Titulo2"/>
      </w:pPr>
      <w:r w:rsidRPr="00517803">
        <w:t xml:space="preserve">Al margen un sello con el Escudo Nacional, que dice: Estados Unidos </w:t>
      </w:r>
      <w:proofErr w:type="gramStart"/>
      <w:r w:rsidRPr="00517803">
        <w:t>Mexicanos.-</w:t>
      </w:r>
      <w:proofErr w:type="gramEnd"/>
      <w:r w:rsidRPr="00517803">
        <w:t xml:space="preserve"> SE.- Secretaría de Economía.- Dirección General de Normas.</w:t>
      </w:r>
    </w:p>
    <w:p w:rsidR="007146DB" w:rsidRPr="00946DBB" w:rsidRDefault="007146DB" w:rsidP="007146DB">
      <w:pPr>
        <w:pStyle w:val="texto"/>
        <w:spacing w:after="60" w:line="208" w:lineRule="exact"/>
        <w:rPr>
          <w:sz w:val="16"/>
          <w:szCs w:val="16"/>
        </w:rPr>
      </w:pPr>
      <w:r w:rsidRPr="00946DBB">
        <w:rPr>
          <w:sz w:val="16"/>
          <w:szCs w:val="16"/>
        </w:rPr>
        <w:t>DECLARATORIA DE VIGENCIA DE LA NORMA MEXICANA NMX-C-558-ONNCCE-2019, “INDUSTRIA DE LA CONSTRU</w:t>
      </w:r>
      <w:bookmarkStart w:id="1" w:name="N_Hlk524355025"/>
      <w:r>
        <w:rPr>
          <w:sz w:val="16"/>
          <w:szCs w:val="16"/>
        </w:rPr>
        <w:t>CCIÓN-CONCRETO HIDRÁULICO-</w:t>
      </w:r>
      <w:r w:rsidRPr="00946DBB">
        <w:rPr>
          <w:sz w:val="16"/>
          <w:szCs w:val="16"/>
        </w:rPr>
        <w:t>REPARACIÓN DE GRIETAS POR INYECCIÓN (MAYORES DE 0,3 MM) EN CONCRETO</w:t>
      </w:r>
      <w:r>
        <w:rPr>
          <w:sz w:val="16"/>
          <w:szCs w:val="16"/>
        </w:rPr>
        <w:t xml:space="preserve"> BAJO CONDICIONES DE SERVICIO-</w:t>
      </w:r>
      <w:r w:rsidRPr="00946DBB">
        <w:rPr>
          <w:sz w:val="16"/>
          <w:szCs w:val="16"/>
        </w:rPr>
        <w:t>MÉTODO DE APLICACIÓN</w:t>
      </w:r>
      <w:bookmarkEnd w:id="1"/>
      <w:r w:rsidRPr="00946DBB">
        <w:rPr>
          <w:sz w:val="16"/>
          <w:szCs w:val="16"/>
        </w:rPr>
        <w:t>”.</w:t>
      </w:r>
    </w:p>
    <w:p w:rsidR="007146DB" w:rsidRDefault="007146DB" w:rsidP="007146DB">
      <w:pPr>
        <w:pStyle w:val="texto"/>
        <w:spacing w:after="60" w:line="208" w:lineRule="exact"/>
        <w:rPr>
          <w:szCs w:val="20"/>
        </w:rPr>
      </w:pPr>
      <w:r w:rsidRPr="004E17BB">
        <w:rPr>
          <w:szCs w:val="20"/>
        </w:rPr>
        <w:t>La Secretaría de Economía, por conducto de la Dirección General de Normas, con fundamento en lo dispuesto por los artículos 34 fracciones II, XIII y XXXIII de la Ley Orgánica de la Administración Pública Federal; 3 fracción X, 39 fracción III, 51-A, 54 y 66 fracción V de la Ley Federal sobre Metrología y Normalización, 45 y 46 del Reglamento de la Ley Federal sobre Metrología y Normalización y 22 fracciones I, XII y XXV del Reglamento Interior de esta Secretaría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“Organismo Nacional de Normalización y Certificación de la Construcción y Edificación, S.C. (ONNCCE)", lo que se hace del conocimiento de los productores, distribuidores, consumidores y del público en general.</w:t>
      </w:r>
    </w:p>
    <w:p w:rsidR="007146DB" w:rsidRDefault="007146DB" w:rsidP="007146DB">
      <w:pPr>
        <w:pStyle w:val="texto"/>
        <w:spacing w:after="60" w:line="208" w:lineRule="exact"/>
        <w:rPr>
          <w:szCs w:val="20"/>
        </w:rPr>
      </w:pPr>
      <w:r w:rsidRPr="004E17BB">
        <w:rPr>
          <w:szCs w:val="20"/>
        </w:rPr>
        <w:t>El texto completo de la Norma que se indica puede ser adquirido en la sede de dicho Organismo ubicado en Calle Ceres número 7, Colonia Crédito Constructor, Demarcación Territorial Benito Juárez, Código Postal 03940, Ciudad de México, teléfono: 5663 2950 y/o al correo ele</w:t>
      </w:r>
      <w:r>
        <w:rPr>
          <w:szCs w:val="20"/>
        </w:rPr>
        <w:t>ctrónico: normas@onncce.org.mx</w:t>
      </w:r>
      <w:r w:rsidRPr="004E17BB">
        <w:rPr>
          <w:szCs w:val="20"/>
        </w:rPr>
        <w:t xml:space="preserve"> o consultarlo gratuitamente en la Dirección General de Normas de esta Secretaría, ubicada en Calle Pachuca número 189, Piso 7, Colonia Condesa, Demarcación Territorial Cuauhtémoc, Código Postal 06140, Ciudad </w:t>
      </w:r>
      <w:r>
        <w:rPr>
          <w:szCs w:val="20"/>
        </w:rPr>
        <w:t xml:space="preserve"> </w:t>
      </w:r>
      <w:r w:rsidRPr="004E17BB">
        <w:rPr>
          <w:szCs w:val="20"/>
        </w:rPr>
        <w:t>de México.</w:t>
      </w:r>
    </w:p>
    <w:p w:rsidR="007146DB" w:rsidRPr="004E17BB" w:rsidRDefault="007146DB" w:rsidP="007146DB">
      <w:pPr>
        <w:pStyle w:val="texto"/>
        <w:spacing w:after="60" w:line="208" w:lineRule="exact"/>
        <w:rPr>
          <w:szCs w:val="22"/>
        </w:rPr>
      </w:pPr>
      <w:r w:rsidRPr="004E17BB">
        <w:rPr>
          <w:szCs w:val="20"/>
        </w:rPr>
        <w:t>La presente Norma Mexicana NMX-C-558-ONNCCE-2019 entrará en vigor 60 días naturales contados a partir del día natural inmediato siguiente de la publicación de esta Declaratoria de Vigencia en el Diario Oficial de la Federación. SINEC– 20190613171339896</w:t>
      </w:r>
      <w:r>
        <w:rPr>
          <w:szCs w:val="20"/>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7"/>
        <w:gridCol w:w="5835"/>
      </w:tblGrid>
      <w:tr w:rsidR="007146DB" w:rsidRPr="004E17BB" w:rsidTr="00017C49">
        <w:tblPrEx>
          <w:tblCellMar>
            <w:top w:w="0" w:type="dxa"/>
            <w:bottom w:w="0" w:type="dxa"/>
          </w:tblCellMar>
        </w:tblPrEx>
        <w:trPr>
          <w:trHeight w:val="144"/>
          <w:jc w:val="center"/>
        </w:trPr>
        <w:tc>
          <w:tcPr>
            <w:tcW w:w="3261" w:type="dxa"/>
            <w:shd w:val="pct10" w:color="auto" w:fill="auto"/>
            <w:noWrap/>
            <w:vAlign w:val="center"/>
          </w:tcPr>
          <w:p w:rsidR="007146DB" w:rsidRPr="004E17BB" w:rsidRDefault="007146DB" w:rsidP="00017C49">
            <w:pPr>
              <w:pStyle w:val="texto"/>
              <w:spacing w:after="20" w:line="206" w:lineRule="exact"/>
              <w:ind w:firstLine="0"/>
              <w:jc w:val="center"/>
              <w:rPr>
                <w:b/>
                <w:szCs w:val="20"/>
              </w:rPr>
            </w:pPr>
            <w:r w:rsidRPr="004E17BB">
              <w:rPr>
                <w:b/>
                <w:szCs w:val="20"/>
              </w:rPr>
              <w:t>CLAVE O CÓDIGO</w:t>
            </w:r>
          </w:p>
        </w:tc>
        <w:tc>
          <w:tcPr>
            <w:tcW w:w="6637" w:type="dxa"/>
            <w:shd w:val="pct10" w:color="auto" w:fill="auto"/>
            <w:vAlign w:val="center"/>
          </w:tcPr>
          <w:p w:rsidR="007146DB" w:rsidRPr="004E17BB" w:rsidRDefault="007146DB" w:rsidP="00017C49">
            <w:pPr>
              <w:pStyle w:val="texto"/>
              <w:spacing w:after="20" w:line="206" w:lineRule="exact"/>
              <w:ind w:firstLine="0"/>
              <w:jc w:val="center"/>
              <w:rPr>
                <w:b/>
                <w:szCs w:val="20"/>
              </w:rPr>
            </w:pPr>
            <w:r w:rsidRPr="004E17BB">
              <w:rPr>
                <w:b/>
                <w:szCs w:val="20"/>
              </w:rPr>
              <w:t>TÍTULO DE LA NORMA MEXICANA</w:t>
            </w:r>
          </w:p>
        </w:tc>
      </w:tr>
      <w:tr w:rsidR="007146DB" w:rsidRPr="004E17BB" w:rsidTr="00017C49">
        <w:tblPrEx>
          <w:tblCellMar>
            <w:top w:w="0" w:type="dxa"/>
            <w:bottom w:w="0" w:type="dxa"/>
          </w:tblCellMar>
        </w:tblPrEx>
        <w:trPr>
          <w:trHeight w:val="144"/>
          <w:jc w:val="center"/>
        </w:trPr>
        <w:tc>
          <w:tcPr>
            <w:tcW w:w="3261" w:type="dxa"/>
            <w:vAlign w:val="center"/>
          </w:tcPr>
          <w:p w:rsidR="007146DB" w:rsidRPr="00951240" w:rsidRDefault="007146DB" w:rsidP="00017C49">
            <w:pPr>
              <w:pStyle w:val="texto"/>
              <w:spacing w:after="20" w:line="206" w:lineRule="exact"/>
              <w:ind w:firstLine="0"/>
              <w:jc w:val="center"/>
              <w:rPr>
                <w:b/>
                <w:szCs w:val="20"/>
              </w:rPr>
            </w:pPr>
            <w:r w:rsidRPr="00951240">
              <w:rPr>
                <w:b/>
                <w:sz w:val="16"/>
                <w:szCs w:val="20"/>
              </w:rPr>
              <w:t>NMX-C-558-ONNCCE-2019</w:t>
            </w:r>
          </w:p>
        </w:tc>
        <w:tc>
          <w:tcPr>
            <w:tcW w:w="6637" w:type="dxa"/>
            <w:vAlign w:val="center"/>
          </w:tcPr>
          <w:p w:rsidR="007146DB" w:rsidRPr="004E17BB" w:rsidRDefault="007146DB" w:rsidP="00017C49">
            <w:pPr>
              <w:pStyle w:val="texto"/>
              <w:spacing w:after="20" w:line="206" w:lineRule="exact"/>
              <w:ind w:firstLine="0"/>
              <w:rPr>
                <w:szCs w:val="20"/>
              </w:rPr>
            </w:pPr>
            <w:r w:rsidRPr="004E17BB">
              <w:rPr>
                <w:szCs w:val="20"/>
              </w:rPr>
              <w:t>“</w:t>
            </w:r>
            <w:r>
              <w:rPr>
                <w:szCs w:val="20"/>
              </w:rPr>
              <w:t>Industria de la Construcción-</w:t>
            </w:r>
            <w:r w:rsidRPr="004E17BB">
              <w:rPr>
                <w:szCs w:val="20"/>
              </w:rPr>
              <w:t>Co</w:t>
            </w:r>
            <w:r>
              <w:rPr>
                <w:szCs w:val="20"/>
              </w:rPr>
              <w:t>ncreto Hidráulico-</w:t>
            </w:r>
            <w:r w:rsidRPr="004E17BB">
              <w:rPr>
                <w:szCs w:val="20"/>
              </w:rPr>
              <w:t>Reparación de grietas por inyección (Mayores De 0,3 Mm) en concreto</w:t>
            </w:r>
            <w:r>
              <w:rPr>
                <w:szCs w:val="20"/>
              </w:rPr>
              <w:t xml:space="preserve"> bajo condiciones de servicio-</w:t>
            </w:r>
            <w:r w:rsidRPr="004E17BB">
              <w:rPr>
                <w:szCs w:val="20"/>
              </w:rPr>
              <w:t>Método de aplicación”.</w:t>
            </w:r>
          </w:p>
        </w:tc>
      </w:tr>
      <w:tr w:rsidR="007146DB" w:rsidRPr="004E17BB" w:rsidTr="00017C49">
        <w:tblPrEx>
          <w:tblCellMar>
            <w:top w:w="0" w:type="dxa"/>
            <w:bottom w:w="0" w:type="dxa"/>
          </w:tblCellMar>
        </w:tblPrEx>
        <w:trPr>
          <w:trHeight w:val="144"/>
          <w:jc w:val="center"/>
        </w:trPr>
        <w:tc>
          <w:tcPr>
            <w:tcW w:w="9898" w:type="dxa"/>
            <w:gridSpan w:val="2"/>
            <w:vAlign w:val="center"/>
          </w:tcPr>
          <w:p w:rsidR="007146DB" w:rsidRPr="004E17BB" w:rsidRDefault="007146DB" w:rsidP="00017C49">
            <w:pPr>
              <w:pStyle w:val="texto"/>
              <w:spacing w:after="20" w:line="206" w:lineRule="exact"/>
              <w:ind w:firstLine="0"/>
              <w:jc w:val="center"/>
              <w:rPr>
                <w:b/>
                <w:szCs w:val="20"/>
              </w:rPr>
            </w:pPr>
            <w:r w:rsidRPr="004E17BB">
              <w:rPr>
                <w:b/>
                <w:szCs w:val="20"/>
              </w:rPr>
              <w:t>Objetivo y campo de aplicación</w:t>
            </w:r>
          </w:p>
          <w:p w:rsidR="007146DB" w:rsidRPr="004E17BB" w:rsidRDefault="007146DB" w:rsidP="00017C49">
            <w:pPr>
              <w:pStyle w:val="texto"/>
              <w:spacing w:after="20" w:line="206" w:lineRule="exact"/>
              <w:ind w:firstLine="0"/>
              <w:rPr>
                <w:szCs w:val="20"/>
              </w:rPr>
            </w:pPr>
            <w:r w:rsidRPr="004E17BB">
              <w:rPr>
                <w:szCs w:val="20"/>
              </w:rPr>
              <w:t>Esta Norma Mexicana proporciona el conjunto de actividades necesarias para reparar por inyección, las grietas mayores de 0,3 mm de espesor (sin sobrepasar el ancho máximo que el tipo de resina a usarse especifique en su ficha técnica), que se presenten en los elementos estructurales de concreto reforzado bajo condiciones de servicio. Esto, con el propósito de prevenir el ingreso de agua y otros agentes agresivos como CO</w:t>
            </w:r>
            <w:r w:rsidRPr="00946DBB">
              <w:rPr>
                <w:position w:val="-2"/>
                <w:sz w:val="14"/>
                <w:szCs w:val="14"/>
              </w:rPr>
              <w:t>2</w:t>
            </w:r>
            <w:r w:rsidRPr="004E17BB">
              <w:rPr>
                <w:szCs w:val="20"/>
              </w:rPr>
              <w:t xml:space="preserve"> y cloruros que puedan entrar en contacto con el acero de refuerzo, evitando así su degradación o deterioro. La aplicación del método tiene así mismo la finalidad de devolver el monolitismo al concreto y restaurar su capacidad estructural. Es aplicable a todo elemento o estructura de concreto reforzado al cual se le realicen procedimientos preventivos o de reparación.</w:t>
            </w:r>
          </w:p>
        </w:tc>
      </w:tr>
      <w:tr w:rsidR="007146DB" w:rsidRPr="004E17BB" w:rsidTr="00017C49">
        <w:tblPrEx>
          <w:tblCellMar>
            <w:top w:w="0" w:type="dxa"/>
            <w:bottom w:w="0" w:type="dxa"/>
          </w:tblCellMar>
        </w:tblPrEx>
        <w:trPr>
          <w:trHeight w:val="144"/>
          <w:jc w:val="center"/>
        </w:trPr>
        <w:tc>
          <w:tcPr>
            <w:tcW w:w="9898" w:type="dxa"/>
            <w:gridSpan w:val="2"/>
            <w:vAlign w:val="center"/>
          </w:tcPr>
          <w:p w:rsidR="007146DB" w:rsidRPr="004E17BB" w:rsidRDefault="007146DB" w:rsidP="00017C49">
            <w:pPr>
              <w:pStyle w:val="texto"/>
              <w:spacing w:after="20" w:line="206" w:lineRule="exact"/>
              <w:ind w:firstLine="0"/>
              <w:jc w:val="center"/>
              <w:rPr>
                <w:b/>
                <w:szCs w:val="20"/>
              </w:rPr>
            </w:pPr>
            <w:r w:rsidRPr="004E17BB">
              <w:rPr>
                <w:b/>
                <w:szCs w:val="20"/>
              </w:rPr>
              <w:t>Concordancia con Normas Internacionales</w:t>
            </w:r>
          </w:p>
          <w:p w:rsidR="007146DB" w:rsidRPr="004E17BB" w:rsidRDefault="007146DB" w:rsidP="00017C49">
            <w:pPr>
              <w:pStyle w:val="texto"/>
              <w:spacing w:after="20" w:line="206" w:lineRule="exact"/>
              <w:ind w:firstLine="0"/>
              <w:rPr>
                <w:szCs w:val="20"/>
              </w:rPr>
            </w:pPr>
            <w:r w:rsidRPr="004E17BB">
              <w:rPr>
                <w:szCs w:val="20"/>
              </w:rPr>
              <w:t>Esta Norma Mexicana no es equivalente (NEQ) con ninguna Norma Internacional, por no existir esta última al momento de su elaboración.</w:t>
            </w:r>
          </w:p>
        </w:tc>
      </w:tr>
      <w:tr w:rsidR="007146DB" w:rsidRPr="004E17BB" w:rsidTr="00017C49">
        <w:tblPrEx>
          <w:tblCellMar>
            <w:top w:w="0" w:type="dxa"/>
            <w:bottom w:w="0" w:type="dxa"/>
          </w:tblCellMar>
        </w:tblPrEx>
        <w:trPr>
          <w:trHeight w:val="144"/>
          <w:jc w:val="center"/>
        </w:trPr>
        <w:tc>
          <w:tcPr>
            <w:tcW w:w="9898" w:type="dxa"/>
            <w:gridSpan w:val="2"/>
            <w:vAlign w:val="center"/>
          </w:tcPr>
          <w:p w:rsidR="007146DB" w:rsidRPr="004E17BB" w:rsidRDefault="007146DB" w:rsidP="00017C49">
            <w:pPr>
              <w:pStyle w:val="texto"/>
              <w:spacing w:after="20" w:line="206" w:lineRule="exact"/>
              <w:ind w:firstLine="0"/>
              <w:jc w:val="center"/>
              <w:rPr>
                <w:b/>
                <w:szCs w:val="20"/>
                <w:lang w:val="en-US"/>
              </w:rPr>
            </w:pPr>
            <w:proofErr w:type="spellStart"/>
            <w:r w:rsidRPr="004E17BB">
              <w:rPr>
                <w:b/>
                <w:szCs w:val="20"/>
                <w:lang w:val="en-US"/>
              </w:rPr>
              <w:t>Bibliografía</w:t>
            </w:r>
            <w:proofErr w:type="spellEnd"/>
          </w:p>
          <w:p w:rsidR="007146DB" w:rsidRDefault="007146DB" w:rsidP="00017C49">
            <w:pPr>
              <w:pStyle w:val="texto"/>
              <w:spacing w:after="20" w:line="206" w:lineRule="exact"/>
              <w:ind w:left="405" w:hanging="405"/>
              <w:rPr>
                <w:szCs w:val="20"/>
                <w:lang w:val="en-US"/>
              </w:rPr>
            </w:pPr>
            <w:r w:rsidRPr="004E17BB">
              <w:rPr>
                <w:szCs w:val="20"/>
                <w:lang w:val="en-US"/>
              </w:rPr>
              <w:t>-</w:t>
            </w:r>
            <w:r w:rsidRPr="004E17BB">
              <w:rPr>
                <w:szCs w:val="20"/>
                <w:lang w:val="en-US"/>
              </w:rPr>
              <w:tab/>
              <w:t>ASTM D638-14, Standard Test Method for Tensile Properties of Plastics, ASTM International, West Conshohocken, PA, 2014.</w:t>
            </w:r>
          </w:p>
          <w:p w:rsidR="007146DB" w:rsidRDefault="007146DB" w:rsidP="00017C49">
            <w:pPr>
              <w:pStyle w:val="texto"/>
              <w:spacing w:after="20" w:line="206" w:lineRule="exact"/>
              <w:ind w:left="405" w:hanging="405"/>
              <w:rPr>
                <w:szCs w:val="20"/>
                <w:lang w:val="en-US"/>
              </w:rPr>
            </w:pPr>
            <w:r w:rsidRPr="004E17BB">
              <w:rPr>
                <w:szCs w:val="20"/>
                <w:lang w:val="en-US"/>
              </w:rPr>
              <w:t>-</w:t>
            </w:r>
            <w:r w:rsidRPr="004E17BB">
              <w:rPr>
                <w:szCs w:val="20"/>
                <w:lang w:val="en-US"/>
              </w:rPr>
              <w:tab/>
              <w:t>ASTM D695-15, Standard Test Method for Compressive Properties of Rigid Plastics, ASTM International, West Conshohocken, PA, 2015.</w:t>
            </w:r>
          </w:p>
          <w:p w:rsidR="007146DB" w:rsidRDefault="007146DB" w:rsidP="00017C49">
            <w:pPr>
              <w:pStyle w:val="texto"/>
              <w:spacing w:after="20" w:line="206" w:lineRule="exact"/>
              <w:ind w:left="405" w:hanging="405"/>
              <w:rPr>
                <w:szCs w:val="20"/>
                <w:lang w:val="en-US"/>
              </w:rPr>
            </w:pPr>
            <w:r w:rsidRPr="004E17BB">
              <w:rPr>
                <w:szCs w:val="20"/>
                <w:lang w:val="en-US"/>
              </w:rPr>
              <w:t>-</w:t>
            </w:r>
            <w:r w:rsidRPr="004E17BB">
              <w:rPr>
                <w:szCs w:val="20"/>
                <w:lang w:val="en-US"/>
              </w:rPr>
              <w:tab/>
              <w:t xml:space="preserve">ASTM C882 / C882M-13a, Standard Test Method for Bond Strength of Epoxy-Resin Systems Used </w:t>
            </w:r>
            <w:proofErr w:type="gramStart"/>
            <w:r w:rsidRPr="004E17BB">
              <w:rPr>
                <w:szCs w:val="20"/>
                <w:lang w:val="en-US"/>
              </w:rPr>
              <w:t>With</w:t>
            </w:r>
            <w:proofErr w:type="gramEnd"/>
            <w:r w:rsidRPr="004E17BB">
              <w:rPr>
                <w:szCs w:val="20"/>
                <w:lang w:val="en-US"/>
              </w:rPr>
              <w:t xml:space="preserve"> Concrete By Slant Shear, ASTM International, West Conshohocken, PA, 2013.</w:t>
            </w:r>
          </w:p>
          <w:p w:rsidR="007146DB" w:rsidRDefault="007146DB" w:rsidP="00017C49">
            <w:pPr>
              <w:pStyle w:val="texto"/>
              <w:spacing w:after="20" w:line="206" w:lineRule="exact"/>
              <w:ind w:left="405" w:hanging="405"/>
              <w:rPr>
                <w:szCs w:val="20"/>
                <w:lang w:val="en-US"/>
              </w:rPr>
            </w:pPr>
            <w:r w:rsidRPr="004E17BB">
              <w:rPr>
                <w:szCs w:val="20"/>
                <w:lang w:val="en-US"/>
              </w:rPr>
              <w:t>-</w:t>
            </w:r>
            <w:r w:rsidRPr="004E17BB">
              <w:rPr>
                <w:szCs w:val="20"/>
                <w:lang w:val="en-US"/>
              </w:rPr>
              <w:tab/>
              <w:t xml:space="preserve">ASTM C1583 / C1583M-13, Standard Test Method for Tensile Strength of Concrete Surfaces and the Bond Strength or Tensile Strength of Concrete Repair and Overlay Materials by Direct </w:t>
            </w:r>
            <w:proofErr w:type="gramStart"/>
            <w:r w:rsidRPr="004E17BB">
              <w:rPr>
                <w:szCs w:val="20"/>
                <w:lang w:val="en-US"/>
              </w:rPr>
              <w:t xml:space="preserve">Tension </w:t>
            </w:r>
            <w:r>
              <w:rPr>
                <w:szCs w:val="20"/>
                <w:lang w:val="en-US"/>
              </w:rPr>
              <w:t xml:space="preserve"> </w:t>
            </w:r>
            <w:r w:rsidRPr="004E17BB">
              <w:rPr>
                <w:szCs w:val="20"/>
                <w:lang w:val="en-US"/>
              </w:rPr>
              <w:t>(</w:t>
            </w:r>
            <w:proofErr w:type="gramEnd"/>
            <w:r w:rsidRPr="004E17BB">
              <w:rPr>
                <w:szCs w:val="20"/>
                <w:lang w:val="en-US"/>
              </w:rPr>
              <w:t>Pull-off Method), ASTM International, West Conshohocken, PA, 2013.</w:t>
            </w:r>
          </w:p>
          <w:p w:rsidR="007146DB" w:rsidRDefault="007146DB" w:rsidP="00017C49">
            <w:pPr>
              <w:pStyle w:val="texto"/>
              <w:spacing w:after="20" w:line="206" w:lineRule="exact"/>
              <w:ind w:left="405" w:hanging="405"/>
              <w:rPr>
                <w:szCs w:val="20"/>
                <w:lang w:val="en-US"/>
              </w:rPr>
            </w:pPr>
            <w:r w:rsidRPr="004E17BB">
              <w:rPr>
                <w:szCs w:val="20"/>
                <w:lang w:val="en-US"/>
              </w:rPr>
              <w:t>-</w:t>
            </w:r>
            <w:r w:rsidRPr="004E17BB">
              <w:rPr>
                <w:szCs w:val="20"/>
                <w:lang w:val="en-US"/>
              </w:rPr>
              <w:tab/>
              <w:t>ASTM D2393-86, Test Method for Viscosity of Epoxy Resins and Related Components (</w:t>
            </w:r>
            <w:proofErr w:type="spellStart"/>
            <w:r w:rsidRPr="004E17BB">
              <w:rPr>
                <w:szCs w:val="20"/>
                <w:lang w:val="en-US"/>
              </w:rPr>
              <w:t>Retirado</w:t>
            </w:r>
            <w:proofErr w:type="spellEnd"/>
            <w:r w:rsidRPr="004E17BB">
              <w:rPr>
                <w:szCs w:val="20"/>
                <w:lang w:val="en-US"/>
              </w:rPr>
              <w:t xml:space="preserve">, sin </w:t>
            </w:r>
            <w:proofErr w:type="spellStart"/>
            <w:r w:rsidRPr="004E17BB">
              <w:rPr>
                <w:szCs w:val="20"/>
                <w:lang w:val="en-US"/>
              </w:rPr>
              <w:t>reemplazo</w:t>
            </w:r>
            <w:proofErr w:type="spellEnd"/>
            <w:r w:rsidRPr="004E17BB">
              <w:rPr>
                <w:szCs w:val="20"/>
                <w:lang w:val="en-US"/>
              </w:rPr>
              <w:t>).</w:t>
            </w:r>
          </w:p>
          <w:p w:rsidR="007146DB" w:rsidRDefault="007146DB" w:rsidP="00017C49">
            <w:pPr>
              <w:pStyle w:val="texto"/>
              <w:spacing w:after="20" w:line="206" w:lineRule="exact"/>
              <w:ind w:left="405" w:hanging="405"/>
              <w:rPr>
                <w:szCs w:val="20"/>
              </w:rPr>
            </w:pPr>
            <w:r w:rsidRPr="004E17BB">
              <w:rPr>
                <w:szCs w:val="20"/>
              </w:rPr>
              <w:t>-</w:t>
            </w:r>
            <w:r w:rsidRPr="004E17BB">
              <w:rPr>
                <w:szCs w:val="20"/>
              </w:rPr>
              <w:tab/>
              <w:t xml:space="preserve">NMX-Z-013-SCFI-2015, Guía para la estructuración y redacción de normas (Cancela a </w:t>
            </w:r>
            <w:proofErr w:type="gramStart"/>
            <w:r w:rsidRPr="004E17BB">
              <w:rPr>
                <w:szCs w:val="20"/>
              </w:rPr>
              <w:t xml:space="preserve">la </w:t>
            </w:r>
            <w:r>
              <w:rPr>
                <w:szCs w:val="20"/>
              </w:rPr>
              <w:t xml:space="preserve"> </w:t>
            </w:r>
            <w:r w:rsidRPr="004E17BB">
              <w:rPr>
                <w:szCs w:val="20"/>
              </w:rPr>
              <w:t>NMX</w:t>
            </w:r>
            <w:proofErr w:type="gramEnd"/>
            <w:r w:rsidRPr="004E17BB">
              <w:rPr>
                <w:szCs w:val="20"/>
              </w:rPr>
              <w:t>-Z-013/1-1977), publicada en el Diario Oficial de la Federación el 18 de noviembre de 2015.</w:t>
            </w:r>
          </w:p>
          <w:p w:rsidR="007146DB" w:rsidRPr="004E17BB" w:rsidRDefault="007146DB" w:rsidP="00017C49">
            <w:pPr>
              <w:pStyle w:val="texto"/>
              <w:spacing w:after="20" w:line="206" w:lineRule="exact"/>
              <w:ind w:left="405" w:hanging="405"/>
              <w:rPr>
                <w:szCs w:val="20"/>
              </w:rPr>
            </w:pPr>
            <w:r w:rsidRPr="004E17BB">
              <w:rPr>
                <w:szCs w:val="20"/>
              </w:rPr>
              <w:lastRenderedPageBreak/>
              <w:t>-</w:t>
            </w:r>
            <w:r w:rsidRPr="004E17BB">
              <w:rPr>
                <w:szCs w:val="20"/>
              </w:rPr>
              <w:tab/>
              <w:t>NOM-008-SCFI-2002, Sistema general de unidades de medida, publicada en el Diario Oficial de la Federación el 27 de noviembre de 2002.</w:t>
            </w:r>
          </w:p>
        </w:tc>
      </w:tr>
    </w:tbl>
    <w:p w:rsidR="007146DB" w:rsidRPr="004E17BB" w:rsidRDefault="007146DB" w:rsidP="007146DB">
      <w:pPr>
        <w:pStyle w:val="texto"/>
      </w:pPr>
    </w:p>
    <w:p w:rsidR="007146DB" w:rsidRPr="005A0C0B" w:rsidRDefault="007146DB" w:rsidP="007146DB">
      <w:pPr>
        <w:pStyle w:val="texto"/>
      </w:pPr>
      <w:r w:rsidRPr="004E17BB">
        <w:t>Ciudad de México, a 30 de agosto de 2019.</w:t>
      </w:r>
      <w:r>
        <w:t xml:space="preserve">- El </w:t>
      </w:r>
      <w:r w:rsidRPr="004E17BB">
        <w:t>Secretario Técnico de la Comisión Nacional de Normalización</w:t>
      </w:r>
      <w:r>
        <w:t xml:space="preserve">, </w:t>
      </w:r>
      <w:r w:rsidRPr="004E17BB">
        <w:rPr>
          <w:b/>
        </w:rPr>
        <w:t xml:space="preserve">Alfonso </w:t>
      </w:r>
      <w:proofErr w:type="spellStart"/>
      <w:r w:rsidRPr="004E17BB">
        <w:rPr>
          <w:b/>
        </w:rPr>
        <w:t>Guati</w:t>
      </w:r>
      <w:proofErr w:type="spellEnd"/>
      <w:r w:rsidRPr="004E17BB">
        <w:rPr>
          <w:b/>
        </w:rPr>
        <w:t xml:space="preserve"> Rojo </w:t>
      </w:r>
      <w:proofErr w:type="gramStart"/>
      <w:r w:rsidRPr="004E17BB">
        <w:rPr>
          <w:b/>
        </w:rPr>
        <w:t>Sánchez</w:t>
      </w:r>
      <w:r>
        <w:t>.-</w:t>
      </w:r>
      <w:proofErr w:type="gramEnd"/>
      <w:r>
        <w:t xml:space="preserve"> Rúbrica.</w:t>
      </w:r>
    </w:p>
    <w:p w:rsidR="007146DB" w:rsidRDefault="007146DB"/>
    <w:sectPr w:rsidR="007146D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3EA" w:rsidRDefault="001F23EA" w:rsidP="007146DB">
      <w:r>
        <w:separator/>
      </w:r>
    </w:p>
  </w:endnote>
  <w:endnote w:type="continuationSeparator" w:id="0">
    <w:p w:rsidR="001F23EA" w:rsidRDefault="001F23EA" w:rsidP="0071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3EA" w:rsidRDefault="001F23EA" w:rsidP="007146DB">
      <w:r>
        <w:separator/>
      </w:r>
    </w:p>
  </w:footnote>
  <w:footnote w:type="continuationSeparator" w:id="0">
    <w:p w:rsidR="001F23EA" w:rsidRDefault="001F23EA" w:rsidP="0071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DB" w:rsidRPr="00517803" w:rsidRDefault="007146DB" w:rsidP="007146DB">
    <w:pPr>
      <w:pStyle w:val="Fechas"/>
      <w:rPr>
        <w:rFonts w:cs="Times New Roman"/>
      </w:rPr>
    </w:pPr>
    <w:r w:rsidRPr="00517803">
      <w:rPr>
        <w:rFonts w:cs="Times New Roman"/>
      </w:rPr>
      <w:t>Martes 5 de noviembre de 2019</w:t>
    </w:r>
    <w:r w:rsidRPr="00517803">
      <w:rPr>
        <w:rFonts w:cs="Times New Roman"/>
      </w:rPr>
      <w:tab/>
      <w:t>DIARIO OFICIAL</w:t>
    </w:r>
    <w:r w:rsidRPr="00517803">
      <w:rPr>
        <w:rFonts w:cs="Times New Roman"/>
      </w:rPr>
      <w:tab/>
    </w:r>
  </w:p>
  <w:p w:rsidR="007146DB" w:rsidRPr="007146DB" w:rsidRDefault="007146DB" w:rsidP="007146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DB"/>
    <w:rsid w:val="001F23EA"/>
    <w:rsid w:val="007146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C028"/>
  <w15:chartTrackingRefBased/>
  <w15:docId w15:val="{19F29412-7CE9-4E1E-B8A3-907A7D47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6DB"/>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7146DB"/>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7146DB"/>
    <w:pPr>
      <w:pBdr>
        <w:top w:val="double" w:sz="6" w:space="1" w:color="auto"/>
      </w:pBdr>
      <w:snapToGrid/>
      <w:spacing w:line="240" w:lineRule="auto"/>
      <w:ind w:firstLine="0"/>
      <w:outlineLvl w:val="1"/>
    </w:pPr>
    <w:rPr>
      <w:szCs w:val="20"/>
    </w:rPr>
  </w:style>
  <w:style w:type="paragraph" w:customStyle="1" w:styleId="texto">
    <w:name w:val="texto"/>
    <w:basedOn w:val="Normal"/>
    <w:rsid w:val="007146DB"/>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7146DB"/>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7146DB"/>
    <w:pPr>
      <w:tabs>
        <w:tab w:val="center" w:pos="4419"/>
        <w:tab w:val="right" w:pos="8838"/>
      </w:tabs>
    </w:pPr>
  </w:style>
  <w:style w:type="character" w:customStyle="1" w:styleId="EncabezadoCar">
    <w:name w:val="Encabezado Car"/>
    <w:basedOn w:val="Fuentedeprrafopredeter"/>
    <w:link w:val="Encabezado"/>
    <w:uiPriority w:val="99"/>
    <w:rsid w:val="007146DB"/>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7146DB"/>
    <w:pPr>
      <w:tabs>
        <w:tab w:val="center" w:pos="4419"/>
        <w:tab w:val="right" w:pos="8838"/>
      </w:tabs>
    </w:pPr>
  </w:style>
  <w:style w:type="character" w:customStyle="1" w:styleId="PiedepginaCar">
    <w:name w:val="Pie de página Car"/>
    <w:basedOn w:val="Fuentedeprrafopredeter"/>
    <w:link w:val="Piedepgina"/>
    <w:uiPriority w:val="99"/>
    <w:rsid w:val="007146DB"/>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7146DB"/>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4041</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2019-11-05T14:18:00Z</dcterms:created>
  <dcterms:modified xsi:type="dcterms:W3CDTF">2019-11-05T14:21:00Z</dcterms:modified>
</cp:coreProperties>
</file>